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3D" w:rsidRPr="00C5216A" w:rsidRDefault="007D6A06" w:rsidP="00C62140">
      <w:pPr>
        <w:spacing w:line="360" w:lineRule="auto"/>
        <w:jc w:val="center"/>
        <w:rPr>
          <w:b/>
        </w:rPr>
      </w:pPr>
      <w:r w:rsidRPr="00C5216A">
        <w:rPr>
          <w:b/>
        </w:rPr>
        <w:t>Перечень изменений, вносимых в Базовый стандарт</w:t>
      </w:r>
    </w:p>
    <w:p w:rsidR="00B37389" w:rsidRPr="00C5216A" w:rsidRDefault="007D6A06" w:rsidP="00C62140">
      <w:pPr>
        <w:spacing w:line="360" w:lineRule="auto"/>
        <w:jc w:val="center"/>
        <w:rPr>
          <w:b/>
        </w:rPr>
      </w:pPr>
      <w:r w:rsidRPr="00C5216A">
        <w:rPr>
          <w:b/>
        </w:rPr>
        <w:t xml:space="preserve"> </w:t>
      </w:r>
      <w:r w:rsidR="00B37389" w:rsidRPr="00C5216A">
        <w:rPr>
          <w:b/>
        </w:rPr>
        <w:t>совершения брокером операций на финансовом рынке,</w:t>
      </w:r>
      <w:r w:rsidRPr="00C5216A">
        <w:rPr>
          <w:b/>
        </w:rPr>
        <w:t xml:space="preserve"> </w:t>
      </w:r>
    </w:p>
    <w:p w:rsidR="002B114F" w:rsidRPr="00C5216A" w:rsidRDefault="007D6A06" w:rsidP="00C62140">
      <w:pPr>
        <w:spacing w:line="360" w:lineRule="auto"/>
        <w:jc w:val="center"/>
        <w:rPr>
          <w:b/>
        </w:rPr>
      </w:pPr>
      <w:r w:rsidRPr="00C5216A">
        <w:rPr>
          <w:b/>
        </w:rPr>
        <w:t>с опис</w:t>
      </w:r>
      <w:r w:rsidR="00C62140" w:rsidRPr="00C5216A">
        <w:rPr>
          <w:b/>
        </w:rPr>
        <w:t>анием причин внесения изменений</w:t>
      </w:r>
    </w:p>
    <w:p w:rsidR="002B114F" w:rsidRPr="00C5216A" w:rsidRDefault="002B114F" w:rsidP="00127C84">
      <w:pPr>
        <w:spacing w:line="360" w:lineRule="auto"/>
      </w:pPr>
    </w:p>
    <w:p w:rsidR="00B37389" w:rsidRDefault="00B37389" w:rsidP="007A55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5216A">
        <w:rPr>
          <w:color w:val="000000"/>
        </w:rPr>
        <w:t>В целях повышения уровня защиты прав и законных интересов инвесторов представляется необходимым уточнить правила использования брокером в своих интересах ценных бумаг клиентов</w:t>
      </w:r>
      <w:r w:rsidR="002A59CB" w:rsidRPr="00C5216A">
        <w:rPr>
          <w:color w:val="000000"/>
        </w:rPr>
        <w:t>. Для этого предлагается внести в Базовый стандарт совершения брокером операций на финансовом рынке (далее – Базовый стандарт) следующие изменения.</w:t>
      </w:r>
    </w:p>
    <w:p w:rsidR="00BB2B44" w:rsidRPr="00C5216A" w:rsidRDefault="00C86C66" w:rsidP="007A55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1. </w:t>
      </w:r>
      <w:r w:rsidR="00BB2B44" w:rsidRPr="00C5216A">
        <w:rPr>
          <w:color w:val="000000"/>
        </w:rPr>
        <w:t>Действующая редакция пункта 3.4 Базового стандарта предусматривает обязанность брокера в случае, если по условиям договоров с клиентами, не предоставившими брокеру права использования их денежных средств в интересах брокера, указанные денежные средства зачисляются на клиринговый счет клиринговой организации, на специальный брокерский счет другого брокера или на счет брокера - кредитной организации по договору о брокерском обслуживании, требовать от указанных лиц обособленного учета этих средств от денежных средств клиентов, предоставивших брокеру право их использования в интересах брокера, на соответствующих счетах или регистрах (если применимо), открываемых брокеру указанными лицами.</w:t>
      </w:r>
    </w:p>
    <w:p w:rsidR="00C86C66" w:rsidRDefault="00BB2B44" w:rsidP="00C85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5216A">
        <w:rPr>
          <w:color w:val="000000"/>
        </w:rPr>
        <w:t>Предлагается распространить указанное требование и на ценные бумаги клиентов</w:t>
      </w:r>
      <w:r w:rsidR="00C91139" w:rsidRPr="00C5216A">
        <w:rPr>
          <w:color w:val="000000"/>
        </w:rPr>
        <w:t xml:space="preserve">, </w:t>
      </w:r>
      <w:r w:rsidRPr="00C5216A">
        <w:rPr>
          <w:color w:val="000000"/>
        </w:rPr>
        <w:t xml:space="preserve">а также </w:t>
      </w:r>
      <w:r w:rsidR="00C91139" w:rsidRPr="00C5216A">
        <w:rPr>
          <w:color w:val="000000"/>
        </w:rPr>
        <w:t xml:space="preserve">заменить </w:t>
      </w:r>
      <w:r w:rsidRPr="00C5216A">
        <w:rPr>
          <w:color w:val="000000"/>
        </w:rPr>
        <w:t>обязанность брокера требовать сегрегации активов от третьих лиц на обязанность брокера обеспечить такую сегрегацию.</w:t>
      </w:r>
      <w:r w:rsidR="00C91139" w:rsidRPr="00C5216A">
        <w:rPr>
          <w:color w:val="000000"/>
        </w:rPr>
        <w:t xml:space="preserve"> </w:t>
      </w:r>
      <w:r w:rsidR="00C86C66">
        <w:rPr>
          <w:color w:val="000000"/>
        </w:rPr>
        <w:t xml:space="preserve">Кроме того, представляется целесообразным разделить на разные пункты требования, установленные для брокеров, являющихся кредитными организациями и не являющихся кредитными организациями. </w:t>
      </w:r>
      <w:r w:rsidR="00C91139" w:rsidRPr="00C5216A">
        <w:rPr>
          <w:color w:val="000000"/>
        </w:rPr>
        <w:t>Для этого предлагается</w:t>
      </w:r>
      <w:r w:rsidR="00C86C66">
        <w:rPr>
          <w:color w:val="000000"/>
        </w:rPr>
        <w:t>:</w:t>
      </w:r>
      <w:r w:rsidR="006D335D">
        <w:rPr>
          <w:color w:val="000000"/>
        </w:rPr>
        <w:t xml:space="preserve"> </w:t>
      </w:r>
    </w:p>
    <w:p w:rsidR="001E5622" w:rsidRDefault="00C86C66" w:rsidP="00C85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1) изложить пункт 3.4 в следующей редакции</w:t>
      </w:r>
      <w:r w:rsidR="00D33B6D">
        <w:rPr>
          <w:color w:val="000000"/>
        </w:rPr>
        <w:t>:</w:t>
      </w:r>
    </w:p>
    <w:p w:rsidR="00C86C66" w:rsidRPr="00C86C66" w:rsidRDefault="00C86C66" w:rsidP="00C86C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«</w:t>
      </w:r>
      <w:r w:rsidRPr="00C86C66">
        <w:rPr>
          <w:color w:val="000000"/>
        </w:rPr>
        <w:t>3.4. Брокер, не являющийся кредитной организацией, должен обеспечить обособленный учет клиринговой организацией, другим брокером, иностранной финансовой организацией денежных средств и ценных бумаг следующих клиентов:</w:t>
      </w:r>
    </w:p>
    <w:p w:rsidR="00C86C66" w:rsidRPr="00C86C66" w:rsidRDefault="00C86C66" w:rsidP="00C86C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86C66">
        <w:rPr>
          <w:color w:val="000000"/>
        </w:rPr>
        <w:t>1) клиентов, предоставивших брокеру право использования денежных средств и ценных бумаг в интересах брокера;</w:t>
      </w:r>
    </w:p>
    <w:p w:rsidR="00C86C66" w:rsidRPr="00C86C66" w:rsidRDefault="00C86C66" w:rsidP="00C86C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86C66">
        <w:rPr>
          <w:color w:val="000000"/>
        </w:rPr>
        <w:t>2) клиентов, не предоставивших брокеру право использования денежных средств и (или) ценных бумаг в интересах брокера, и которым не предоставляются услуги по совершению сделок, предусмотренных пунктом 3.6 Базового стандарта;</w:t>
      </w:r>
    </w:p>
    <w:p w:rsidR="00C86C66" w:rsidRDefault="00C86C66" w:rsidP="00C86C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86C66">
        <w:rPr>
          <w:color w:val="000000"/>
        </w:rPr>
        <w:lastRenderedPageBreak/>
        <w:t>3) каждого клиента, не предоставившего брокеру право использования денежных средств и (или) ценных бумаг в интересах брокера, и в отношении которого брокер не применяет ограничений по предоставлению услуг, предусмотренных</w:t>
      </w:r>
      <w:r>
        <w:rPr>
          <w:color w:val="000000"/>
        </w:rPr>
        <w:t xml:space="preserve"> пунктом 3.6 Базового стандарта»;</w:t>
      </w:r>
    </w:p>
    <w:p w:rsidR="00C86C66" w:rsidRDefault="00C86C66" w:rsidP="00C86C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2) дополнить Базовый стандарт новым пунктом 3.5 в следующей редакции:</w:t>
      </w:r>
    </w:p>
    <w:p w:rsidR="00C86C66" w:rsidRPr="00C86C66" w:rsidRDefault="00C86C66" w:rsidP="00C86C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«</w:t>
      </w:r>
      <w:r w:rsidRPr="00C86C66">
        <w:rPr>
          <w:color w:val="000000"/>
        </w:rPr>
        <w:t>3.5. Брокер, являющийся кредитной организацией, должен обеспечить обособленный учет клиринговой организацией, другим брокером, иностранной финансовой организацией денежных средств и ценных бумаг следующих клиентов:</w:t>
      </w:r>
    </w:p>
    <w:p w:rsidR="00C86C66" w:rsidRPr="00C86C66" w:rsidRDefault="00C86C66" w:rsidP="00C86C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86C66">
        <w:rPr>
          <w:color w:val="000000"/>
        </w:rPr>
        <w:t>1) клиентов, предоставивших брокеру право использования ценных бумаг в интересах брокера;</w:t>
      </w:r>
    </w:p>
    <w:p w:rsidR="00C86C66" w:rsidRPr="00C86C66" w:rsidRDefault="00C86C66" w:rsidP="00C86C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86C66">
        <w:rPr>
          <w:color w:val="000000"/>
        </w:rPr>
        <w:t>2) клиентов, не предоставивших брокеру право использования ценных бумаг в интересах брокера, и которым не предоставляются услуги по совершению сделок, предусмотренных пунктом 3.6 Базового стандарта;</w:t>
      </w:r>
    </w:p>
    <w:p w:rsidR="00C86C66" w:rsidRDefault="00C86C66" w:rsidP="00C86C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86C66">
        <w:rPr>
          <w:color w:val="000000"/>
        </w:rPr>
        <w:t>3) каждого клиента, не предоставившего брокеру право использования ценных бумаг в интересах брокера, и в отношении которого брокер не применяет ограничений по предоставлению услуг, предусмотренных</w:t>
      </w:r>
      <w:r>
        <w:rPr>
          <w:color w:val="000000"/>
        </w:rPr>
        <w:t xml:space="preserve"> пунктом 3.6 Базового стандарта».</w:t>
      </w:r>
    </w:p>
    <w:p w:rsidR="00C91139" w:rsidRDefault="00C86C66" w:rsidP="00BE46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2. </w:t>
      </w:r>
      <w:r w:rsidR="001E5622" w:rsidRPr="00C5216A">
        <w:rPr>
          <w:color w:val="000000"/>
        </w:rPr>
        <w:t xml:space="preserve">В целях недопущения возникновения возможности исполнения обязательств одних клиентов за счет других клиентов в случае, когда клиенты не предоставили брокеру право использования своих денежных средств и ценных бумаг </w:t>
      </w:r>
      <w:r w:rsidR="0040001B" w:rsidRPr="00C5216A">
        <w:rPr>
          <w:color w:val="000000"/>
        </w:rPr>
        <w:t xml:space="preserve">в </w:t>
      </w:r>
      <w:r w:rsidR="001E5622" w:rsidRPr="00C5216A">
        <w:rPr>
          <w:color w:val="000000"/>
        </w:rPr>
        <w:t>интересах брокера, т</w:t>
      </w:r>
      <w:r w:rsidR="00BB2B44" w:rsidRPr="00C5216A">
        <w:rPr>
          <w:color w:val="000000"/>
        </w:rPr>
        <w:t xml:space="preserve">акже </w:t>
      </w:r>
      <w:r w:rsidR="00C91139" w:rsidRPr="00C5216A">
        <w:rPr>
          <w:color w:val="000000"/>
        </w:rPr>
        <w:t>предлагается запретить</w:t>
      </w:r>
      <w:r w:rsidR="001E5622" w:rsidRPr="00C5216A">
        <w:rPr>
          <w:color w:val="000000"/>
        </w:rPr>
        <w:t xml:space="preserve"> брокеру </w:t>
      </w:r>
      <w:r w:rsidR="00C91139" w:rsidRPr="00C5216A">
        <w:rPr>
          <w:color w:val="000000"/>
        </w:rPr>
        <w:t xml:space="preserve">исполнение поручений </w:t>
      </w:r>
      <w:r w:rsidR="001E5622" w:rsidRPr="00C5216A">
        <w:rPr>
          <w:color w:val="000000"/>
        </w:rPr>
        <w:t xml:space="preserve">таких </w:t>
      </w:r>
      <w:r w:rsidR="00C91139" w:rsidRPr="00C5216A">
        <w:rPr>
          <w:color w:val="000000"/>
        </w:rPr>
        <w:t>клиентов</w:t>
      </w:r>
      <w:r w:rsidR="001E5622" w:rsidRPr="00C5216A">
        <w:rPr>
          <w:color w:val="000000"/>
        </w:rPr>
        <w:t xml:space="preserve"> </w:t>
      </w:r>
      <w:r w:rsidR="00C91139" w:rsidRPr="00C5216A">
        <w:rPr>
          <w:color w:val="000000"/>
        </w:rPr>
        <w:t>на совершение маржинальных и необеспеченных сделок</w:t>
      </w:r>
      <w:r w:rsidR="00F12376">
        <w:rPr>
          <w:color w:val="000000"/>
        </w:rPr>
        <w:t xml:space="preserve">, сделок своп с иностранной валютой, а также </w:t>
      </w:r>
      <w:r w:rsidR="00C91139" w:rsidRPr="00C5216A">
        <w:rPr>
          <w:color w:val="000000"/>
        </w:rPr>
        <w:t>на заключение договоров репо</w:t>
      </w:r>
      <w:r w:rsidR="00F12376">
        <w:rPr>
          <w:color w:val="000000"/>
        </w:rPr>
        <w:t xml:space="preserve"> и договоров, являющихся производными финансовыми инструментами. </w:t>
      </w:r>
      <w:r w:rsidR="001E5622" w:rsidRPr="00C5216A">
        <w:rPr>
          <w:color w:val="000000"/>
        </w:rPr>
        <w:t>Для этого предлагается дополнить Базовый стандарт новым пункт</w:t>
      </w:r>
      <w:r w:rsidR="00B3759A">
        <w:rPr>
          <w:color w:val="000000"/>
        </w:rPr>
        <w:t>ом</w:t>
      </w:r>
      <w:r w:rsidR="001E5622" w:rsidRPr="00C5216A">
        <w:rPr>
          <w:color w:val="000000"/>
        </w:rPr>
        <w:t xml:space="preserve"> </w:t>
      </w:r>
      <w:r>
        <w:rPr>
          <w:color w:val="000000"/>
        </w:rPr>
        <w:t>3.6</w:t>
      </w:r>
      <w:r w:rsidR="001E5622" w:rsidRPr="00C5216A">
        <w:rPr>
          <w:color w:val="000000"/>
        </w:rPr>
        <w:t xml:space="preserve"> следующего содержания:</w:t>
      </w:r>
    </w:p>
    <w:p w:rsidR="00C86C66" w:rsidRPr="00C86C66" w:rsidRDefault="00C86C66" w:rsidP="00C86C66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«</w:t>
      </w:r>
      <w:r w:rsidRPr="00C86C66">
        <w:rPr>
          <w:color w:val="000000"/>
        </w:rPr>
        <w:t>3.6. Не допускается предоставление брокером клиентам, денежные средства и ценные бумаги которых совместно учитываются на обособленном счете, указанном в подпункте 2 пункта 3.4 или подпункте 2 пункта 3.5 Базового стандарта, услуг по совершению следующих сделок:</w:t>
      </w:r>
    </w:p>
    <w:p w:rsidR="00C86C66" w:rsidRPr="00C86C66" w:rsidRDefault="00C86C66" w:rsidP="00C86C66">
      <w:pPr>
        <w:spacing w:line="360" w:lineRule="auto"/>
        <w:ind w:firstLine="567"/>
        <w:jc w:val="both"/>
        <w:rPr>
          <w:color w:val="000000"/>
        </w:rPr>
      </w:pPr>
      <w:r w:rsidRPr="00C86C66">
        <w:rPr>
          <w:color w:val="000000"/>
        </w:rPr>
        <w:t xml:space="preserve">1) сделок (в том числе указанных в подпунктах 2 - 4 настоящего пункта), влекущих возникновение или увеличение в абсолютном выражении непокрытой и (или) временно непокрытой позиции по какому-либо имуществу, входящему в состав портфеля клиента, за исключением случаев возникновения или увеличения в абсолютном выражении указанной непокрытой и (или) временно непокрытой позиции исключительно в результате возникновения обязательств клиента по уплате комиссий и компенсации расходов, </w:t>
      </w:r>
      <w:r w:rsidRPr="00C86C66">
        <w:rPr>
          <w:color w:val="000000"/>
        </w:rPr>
        <w:lastRenderedPageBreak/>
        <w:t>связанных с заключением и (или) исполнением сделок. При этом при определении в целях данного пункта значения плановой позиции по соответствующему имуществу для установления факта наличия или отсутствия непокрытой и (или) временно непокрытой позиции в случае заключения соответствующих сделок брокером не принимается в состав портфеля клиента имущество, являющееся предметом обязательства, стороной по которому не является лицо, осуществляющее функции центрального контрагента, либо сам брокер;</w:t>
      </w:r>
    </w:p>
    <w:p w:rsidR="00C86C66" w:rsidRPr="00C86C66" w:rsidRDefault="00C86C66" w:rsidP="00C86C66">
      <w:pPr>
        <w:spacing w:line="360" w:lineRule="auto"/>
        <w:ind w:firstLine="567"/>
        <w:jc w:val="both"/>
        <w:rPr>
          <w:color w:val="000000"/>
        </w:rPr>
      </w:pPr>
      <w:r w:rsidRPr="00C86C66">
        <w:rPr>
          <w:color w:val="000000"/>
        </w:rPr>
        <w:t>2) договоров, являющихся производными финансовыми инструментами, за исключением договоров, предусматривающих право клиента или брокера, действующего за его счет, требовать от другой стороны передачи ценных бумаг, валюты либо требовать уплаты денежных сумм в зависимости от изменения цен на товары, ценные бумаги, изменения курса соответствующей валюты, величины процентных ставок или от изменения значений, рассчитываемых на основании одного или совокупности указанных показателей, и обязанность такого клиента или брокера, действующего за его счет, уплатить другой стороне твердую денежную сумму;</w:t>
      </w:r>
    </w:p>
    <w:p w:rsidR="00C86C66" w:rsidRPr="00C86C66" w:rsidRDefault="00C86C66" w:rsidP="00C86C66">
      <w:pPr>
        <w:spacing w:line="360" w:lineRule="auto"/>
        <w:ind w:firstLine="567"/>
        <w:jc w:val="both"/>
        <w:rPr>
          <w:color w:val="000000"/>
        </w:rPr>
      </w:pPr>
      <w:r w:rsidRPr="00C86C66">
        <w:rPr>
          <w:color w:val="000000"/>
        </w:rPr>
        <w:t>3) не являющихся производными финансовыми инструментами сделок своп с иностранной валютой, за исключением сделок своп, стороной по которым является лицо, осуществляющее функции центрального контрагента, или сам брокер;</w:t>
      </w:r>
    </w:p>
    <w:p w:rsidR="00C86C66" w:rsidRDefault="00C86C66" w:rsidP="00C86C66">
      <w:pPr>
        <w:spacing w:line="360" w:lineRule="auto"/>
        <w:ind w:firstLine="567"/>
        <w:jc w:val="both"/>
        <w:rPr>
          <w:color w:val="000000"/>
        </w:rPr>
      </w:pPr>
      <w:r w:rsidRPr="00C86C66">
        <w:rPr>
          <w:color w:val="000000"/>
        </w:rPr>
        <w:t>4) договоров репо, за исключением договоров репо, стороной по которым является лицо, осуществляющее функции центральн</w:t>
      </w:r>
      <w:r>
        <w:rPr>
          <w:color w:val="000000"/>
        </w:rPr>
        <w:t>ого контрагента, или сам брокер».</w:t>
      </w:r>
    </w:p>
    <w:p w:rsidR="00B3759A" w:rsidRDefault="00C86C66" w:rsidP="00B375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3. </w:t>
      </w:r>
      <w:r w:rsidR="00B3759A">
        <w:rPr>
          <w:color w:val="000000"/>
        </w:rPr>
        <w:t xml:space="preserve">Дополнительно устанавливается обязанность брокера обеспечить возврат использованных брокером для исполнения собственных обязательств и (или) обязательств из сделок, подлежащих исполнению за счет других клиентов брокера, денежных средств и (или) ценных бумаг клиентов брокера, не предоставивших право их использования в интересах брокера, либо возместить клиенту убытки. </w:t>
      </w:r>
      <w:r w:rsidR="00B3759A" w:rsidRPr="00C5216A">
        <w:rPr>
          <w:color w:val="000000"/>
        </w:rPr>
        <w:t>Для этого предлагается дополнить Базовый стандарт новым пункт</w:t>
      </w:r>
      <w:r w:rsidR="00B3759A">
        <w:rPr>
          <w:color w:val="000000"/>
        </w:rPr>
        <w:t>ом 3.</w:t>
      </w:r>
      <w:r>
        <w:rPr>
          <w:color w:val="000000"/>
        </w:rPr>
        <w:t>8</w:t>
      </w:r>
      <w:r w:rsidR="00B3759A">
        <w:rPr>
          <w:color w:val="000000"/>
        </w:rPr>
        <w:t xml:space="preserve"> </w:t>
      </w:r>
      <w:r w:rsidR="00B3759A" w:rsidRPr="00C5216A">
        <w:rPr>
          <w:color w:val="000000"/>
        </w:rPr>
        <w:t>следующего содержания:</w:t>
      </w:r>
    </w:p>
    <w:p w:rsidR="00912A9C" w:rsidRDefault="00912A9C" w:rsidP="00C86C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both"/>
      </w:pPr>
      <w:r>
        <w:t>«</w:t>
      </w:r>
      <w:r w:rsidRPr="00912A9C">
        <w:t>3.8. В случае если денежные средства и (или) ценные бумаги клиента, не предоставившего брокеру права их использования в интересах брокера, были использованы брокером для исполнения собственных обязательств и (или) обязательств из сделок, подлежащих исполнению за счет других его клиентов, брокер обязан не позднее одного рабочего дня с даты использования активов обеспечить зачисление денежных средств и (или) ценных бумаг на счета, на которых в соответствии подпунктами 2 – 3 пункта 3.4 или подпунктами 2 – 3 пункта 3.5 Базового стандарта учитыва</w:t>
      </w:r>
      <w:r w:rsidR="001C67F3">
        <w:t>лись</w:t>
      </w:r>
      <w:r w:rsidRPr="00912A9C">
        <w:t xml:space="preserve"> активы клиента брокера, которые были использованы брокером для исполнения собственных </w:t>
      </w:r>
      <w:r w:rsidRPr="00912A9C">
        <w:lastRenderedPageBreak/>
        <w:t>обязательств и (или) обязательств из сделок, подлежащих исполнению за счет других клиентов. В случае невозможности зачисления ценных бумаг клиенту брокер обязан возместить клиен</w:t>
      </w:r>
      <w:r>
        <w:t>ту убытки в указанный выше срок».</w:t>
      </w:r>
    </w:p>
    <w:p w:rsidR="009C132D" w:rsidRDefault="00C86C66" w:rsidP="00C86C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both"/>
      </w:pPr>
      <w:r>
        <w:t xml:space="preserve">4. В связи с вышеуказанными изменениями и добавлением новых пунктов предлагается соответствующим образом изменить нумерацию пунктов базового стандарта, а также уточнить содержание пунктов 3.6 и 3.7 (в новой нумерации – 3.9 – 3.10) Базового стандарта, </w:t>
      </w:r>
      <w:r w:rsidR="00BE4601" w:rsidRPr="009C132D">
        <w:t>распространи</w:t>
      </w:r>
      <w:r>
        <w:t>в</w:t>
      </w:r>
      <w:r w:rsidR="00BE4601" w:rsidRPr="009C132D">
        <w:t xml:space="preserve"> их действие только на общие счета, на которых учитываются активы клиентов, не предоставивших право брокеру использования денежных средств и ценных бумаг в его интресах.</w:t>
      </w:r>
      <w:r w:rsidR="009C132D">
        <w:t xml:space="preserve"> </w:t>
      </w:r>
      <w:r w:rsidR="006104CB" w:rsidRPr="009C132D">
        <w:rPr>
          <w:iCs/>
        </w:rPr>
        <w:t>Для этого предлагается и</w:t>
      </w:r>
      <w:r w:rsidR="00F17458" w:rsidRPr="009C132D">
        <w:rPr>
          <w:iCs/>
        </w:rPr>
        <w:t xml:space="preserve">зложить </w:t>
      </w:r>
      <w:r>
        <w:rPr>
          <w:iCs/>
        </w:rPr>
        <w:t xml:space="preserve">указанные </w:t>
      </w:r>
      <w:r w:rsidR="00F17458" w:rsidRPr="009C132D">
        <w:rPr>
          <w:iCs/>
        </w:rPr>
        <w:t>пункты в следующей редакции:</w:t>
      </w:r>
    </w:p>
    <w:p w:rsidR="00C86C66" w:rsidRDefault="00C86C66" w:rsidP="00C86C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both"/>
      </w:pPr>
      <w:r>
        <w:t>«3.9. Объединение денежных средств клиентов на обособленном счете, указанном в подпункте 2 пункта 3.4 или подпункте 2 пункта 3.5 Базового стандарта, а также использование их в качестве клирингового обеспечения обязательств клиентов, денежные средства которых совместно учитываются на обособленном счете, указанном в подпункте 2 пункта 3.4 или подпункте 2 пункта 3.5 Базового стандарта, не является использованием денежных средств в интересах брокера при условии соблюдения требований, установленных пунктом 3.6 Базового стандарта.</w:t>
      </w:r>
    </w:p>
    <w:p w:rsidR="00C86C66" w:rsidRDefault="00C86C66" w:rsidP="00C86C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both"/>
      </w:pPr>
      <w:r>
        <w:t>3.10. Объединение ценных бумаг клиентов на торговом счете (субсчете) депо номинального держателя, указанном в подпункте 2 пункта 3.4 или подпункте 2 пункта 3.5 Базового стандарта, а также использование их в качестве клирингового обеспечения обязательств клиентов, ценные бумаги которых совместно учитываются на обособленном счете, указанном в подпункте 2 пункта 3.4 или подпункте 2 пункта 3.5 Базового стандарта, не является использованием ценных бумаг в интересах брокера при условии соблюдения требований, установленных пунктом 3.6 Базового стандарта».</w:t>
      </w:r>
    </w:p>
    <w:p w:rsidR="001E5622" w:rsidRPr="00C5216A" w:rsidRDefault="00D24217" w:rsidP="009C13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5. </w:t>
      </w:r>
      <w:r w:rsidR="005D4C76" w:rsidRPr="006D335D">
        <w:rPr>
          <w:color w:val="000000"/>
        </w:rPr>
        <w:t xml:space="preserve">Предлагается установить срок вступления в силу </w:t>
      </w:r>
      <w:r w:rsidR="00570FD8" w:rsidRPr="006D335D">
        <w:rPr>
          <w:color w:val="000000"/>
        </w:rPr>
        <w:t>новой редакции Базового стандарта с учетом вышеуказанных изменений</w:t>
      </w:r>
      <w:r w:rsidR="005D4C76" w:rsidRPr="006D335D">
        <w:rPr>
          <w:color w:val="000000"/>
        </w:rPr>
        <w:t xml:space="preserve"> с 1 </w:t>
      </w:r>
      <w:r w:rsidR="00F17458">
        <w:rPr>
          <w:color w:val="000000"/>
        </w:rPr>
        <w:t>июля</w:t>
      </w:r>
      <w:r w:rsidR="005D4C76" w:rsidRPr="006D335D">
        <w:rPr>
          <w:color w:val="000000"/>
        </w:rPr>
        <w:t xml:space="preserve"> </w:t>
      </w:r>
      <w:r w:rsidR="00BE4601" w:rsidRPr="006D335D">
        <w:rPr>
          <w:color w:val="000000"/>
        </w:rPr>
        <w:t>20</w:t>
      </w:r>
      <w:r w:rsidR="00BE4601">
        <w:rPr>
          <w:color w:val="000000"/>
        </w:rPr>
        <w:t>23</w:t>
      </w:r>
      <w:r w:rsidR="00BE4601" w:rsidRPr="006D335D">
        <w:rPr>
          <w:color w:val="000000"/>
        </w:rPr>
        <w:t xml:space="preserve"> </w:t>
      </w:r>
      <w:r w:rsidR="005D4C76" w:rsidRPr="006D335D">
        <w:rPr>
          <w:color w:val="000000"/>
        </w:rPr>
        <w:t>года.</w:t>
      </w:r>
    </w:p>
    <w:sectPr w:rsidR="001E5622" w:rsidRPr="00C5216A" w:rsidSect="00C5216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363" w:rsidRDefault="004D5363" w:rsidP="00E0203D">
      <w:r>
        <w:separator/>
      </w:r>
    </w:p>
  </w:endnote>
  <w:endnote w:type="continuationSeparator" w:id="0">
    <w:p w:rsidR="004D5363" w:rsidRDefault="004D5363" w:rsidP="00E02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464050"/>
      <w:docPartObj>
        <w:docPartGallery w:val="Page Numbers (Bottom of Page)"/>
        <w:docPartUnique/>
      </w:docPartObj>
    </w:sdtPr>
    <w:sdtContent>
      <w:p w:rsidR="00732EFF" w:rsidRDefault="00293BFB">
        <w:pPr>
          <w:pStyle w:val="a7"/>
          <w:jc w:val="right"/>
        </w:pPr>
        <w:r>
          <w:fldChar w:fldCharType="begin"/>
        </w:r>
        <w:r w:rsidR="007A5583">
          <w:instrText xml:space="preserve"> PAGE   \* MERGEFORMAT </w:instrText>
        </w:r>
        <w:r>
          <w:fldChar w:fldCharType="separate"/>
        </w:r>
        <w:r w:rsidR="001C67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32EFF" w:rsidRDefault="00732E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363" w:rsidRDefault="004D5363" w:rsidP="00E0203D">
      <w:r>
        <w:separator/>
      </w:r>
    </w:p>
  </w:footnote>
  <w:footnote w:type="continuationSeparator" w:id="0">
    <w:p w:rsidR="004D5363" w:rsidRDefault="004D5363" w:rsidP="00E02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22" w:rsidRDefault="001E5622">
    <w:pPr>
      <w:pStyle w:val="a5"/>
      <w:jc w:val="center"/>
    </w:pPr>
  </w:p>
  <w:p w:rsidR="001E5622" w:rsidRDefault="001E562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6FE84D"/>
    <w:multiLevelType w:val="hybridMultilevel"/>
    <w:tmpl w:val="C4A802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ксим Ткач">
    <w15:presenceInfo w15:providerId="None" w15:userId="Максим Ткач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14F"/>
    <w:rsid w:val="0000485E"/>
    <w:rsid w:val="00004D01"/>
    <w:rsid w:val="00010E4C"/>
    <w:rsid w:val="000311E0"/>
    <w:rsid w:val="000610B3"/>
    <w:rsid w:val="000A4944"/>
    <w:rsid w:val="000C0A48"/>
    <w:rsid w:val="000D7D30"/>
    <w:rsid w:val="000F3099"/>
    <w:rsid w:val="00117796"/>
    <w:rsid w:val="00127C84"/>
    <w:rsid w:val="00173248"/>
    <w:rsid w:val="00191C9D"/>
    <w:rsid w:val="001C67F3"/>
    <w:rsid w:val="001E5622"/>
    <w:rsid w:val="001F0926"/>
    <w:rsid w:val="001F5836"/>
    <w:rsid w:val="002032F4"/>
    <w:rsid w:val="00203D6D"/>
    <w:rsid w:val="00225F06"/>
    <w:rsid w:val="00267FF5"/>
    <w:rsid w:val="00293BFB"/>
    <w:rsid w:val="002A2535"/>
    <w:rsid w:val="002A59CB"/>
    <w:rsid w:val="002B114F"/>
    <w:rsid w:val="002B166B"/>
    <w:rsid w:val="003325BD"/>
    <w:rsid w:val="00370214"/>
    <w:rsid w:val="003F7BB1"/>
    <w:rsid w:val="0040001B"/>
    <w:rsid w:val="0041056B"/>
    <w:rsid w:val="004A0EB8"/>
    <w:rsid w:val="004A281B"/>
    <w:rsid w:val="004D5363"/>
    <w:rsid w:val="004F6D90"/>
    <w:rsid w:val="0054455B"/>
    <w:rsid w:val="00570E6A"/>
    <w:rsid w:val="00570FD8"/>
    <w:rsid w:val="005D4C76"/>
    <w:rsid w:val="006104CB"/>
    <w:rsid w:val="006D335D"/>
    <w:rsid w:val="00723CC7"/>
    <w:rsid w:val="00732EFF"/>
    <w:rsid w:val="00754B32"/>
    <w:rsid w:val="007A5583"/>
    <w:rsid w:val="007C71EF"/>
    <w:rsid w:val="007D6A06"/>
    <w:rsid w:val="00893E06"/>
    <w:rsid w:val="00912A9C"/>
    <w:rsid w:val="009A4C68"/>
    <w:rsid w:val="009B612C"/>
    <w:rsid w:val="009C132D"/>
    <w:rsid w:val="009F4D6E"/>
    <w:rsid w:val="00A07759"/>
    <w:rsid w:val="00A169CA"/>
    <w:rsid w:val="00A207BE"/>
    <w:rsid w:val="00A80F9A"/>
    <w:rsid w:val="00B236D9"/>
    <w:rsid w:val="00B2710F"/>
    <w:rsid w:val="00B37389"/>
    <w:rsid w:val="00B3759A"/>
    <w:rsid w:val="00B82371"/>
    <w:rsid w:val="00BB2B44"/>
    <w:rsid w:val="00BE4601"/>
    <w:rsid w:val="00C251EC"/>
    <w:rsid w:val="00C42126"/>
    <w:rsid w:val="00C5216A"/>
    <w:rsid w:val="00C62140"/>
    <w:rsid w:val="00C725BE"/>
    <w:rsid w:val="00C85720"/>
    <w:rsid w:val="00C86C66"/>
    <w:rsid w:val="00C91139"/>
    <w:rsid w:val="00D24217"/>
    <w:rsid w:val="00D33B6D"/>
    <w:rsid w:val="00D57123"/>
    <w:rsid w:val="00E0203D"/>
    <w:rsid w:val="00E534DC"/>
    <w:rsid w:val="00E75C79"/>
    <w:rsid w:val="00E75EEC"/>
    <w:rsid w:val="00F014B0"/>
    <w:rsid w:val="00F12376"/>
    <w:rsid w:val="00F17458"/>
    <w:rsid w:val="00F2186F"/>
    <w:rsid w:val="00F279E4"/>
    <w:rsid w:val="00F430E0"/>
    <w:rsid w:val="00F9010B"/>
    <w:rsid w:val="00FC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1C9D"/>
  </w:style>
  <w:style w:type="paragraph" w:styleId="1">
    <w:name w:val="heading 1"/>
    <w:basedOn w:val="a"/>
    <w:next w:val="a"/>
    <w:rsid w:val="00191C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91C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91C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91C9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91C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91C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91C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91C9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91C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E02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203D"/>
  </w:style>
  <w:style w:type="paragraph" w:styleId="a7">
    <w:name w:val="footer"/>
    <w:basedOn w:val="a"/>
    <w:link w:val="a8"/>
    <w:uiPriority w:val="99"/>
    <w:unhideWhenUsed/>
    <w:rsid w:val="00E02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203D"/>
  </w:style>
  <w:style w:type="paragraph" w:customStyle="1" w:styleId="Default">
    <w:name w:val="Default"/>
    <w:rsid w:val="000610B3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E46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4601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2A2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1C9D"/>
  </w:style>
  <w:style w:type="paragraph" w:styleId="1">
    <w:name w:val="heading 1"/>
    <w:basedOn w:val="a"/>
    <w:next w:val="a"/>
    <w:rsid w:val="00191C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91C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91C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91C9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91C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91C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91C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91C9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91C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E02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203D"/>
  </w:style>
  <w:style w:type="paragraph" w:styleId="a7">
    <w:name w:val="footer"/>
    <w:basedOn w:val="a"/>
    <w:link w:val="a8"/>
    <w:uiPriority w:val="99"/>
    <w:unhideWhenUsed/>
    <w:rsid w:val="00E02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203D"/>
  </w:style>
  <w:style w:type="paragraph" w:customStyle="1" w:styleId="Default">
    <w:name w:val="Default"/>
    <w:rsid w:val="000610B3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E46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4601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2A25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4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Житель</dc:creator>
  <cp:lastModifiedBy>zverev</cp:lastModifiedBy>
  <cp:revision>21</cp:revision>
  <cp:lastPrinted>2022-04-21T15:42:00Z</cp:lastPrinted>
  <dcterms:created xsi:type="dcterms:W3CDTF">2022-07-26T08:38:00Z</dcterms:created>
  <dcterms:modified xsi:type="dcterms:W3CDTF">2022-08-17T09:00:00Z</dcterms:modified>
</cp:coreProperties>
</file>